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1579" w14:textId="168D9690" w:rsidR="008113C3" w:rsidRPr="00BC4FE4" w:rsidRDefault="0036757D" w:rsidP="00124F0A">
      <w:pPr>
        <w:rPr>
          <w:rFonts w:cstheme="minorHAnsi"/>
          <w:b/>
          <w:bCs/>
          <w:color w:val="000000"/>
          <w:shd w:val="clear" w:color="auto" w:fill="FFFFFF"/>
        </w:rPr>
      </w:pPr>
      <w:r w:rsidRPr="00BC4FE4">
        <w:rPr>
          <w:rFonts w:cstheme="minorHAnsi"/>
          <w:b/>
          <w:bCs/>
          <w:color w:val="000000"/>
          <w:shd w:val="clear" w:color="auto" w:fill="FFFFFF"/>
        </w:rPr>
        <w:t>Cell Analysis</w:t>
      </w:r>
      <w:r w:rsidR="00280617" w:rsidRPr="00BC4FE4">
        <w:rPr>
          <w:rFonts w:cstheme="minorHAnsi"/>
          <w:b/>
          <w:bCs/>
          <w:color w:val="000000"/>
          <w:shd w:val="clear" w:color="auto" w:fill="FFFFFF"/>
        </w:rPr>
        <w:t xml:space="preserve"> </w:t>
      </w:r>
      <w:r w:rsidR="00E10F19" w:rsidRPr="00BC4FE4">
        <w:rPr>
          <w:rFonts w:cstheme="minorHAnsi"/>
          <w:b/>
          <w:bCs/>
          <w:color w:val="000000"/>
          <w:shd w:val="clear" w:color="auto" w:fill="FFFFFF"/>
        </w:rPr>
        <w:t>Market</w:t>
      </w:r>
      <w:r w:rsidR="00BC4FE4" w:rsidRPr="00BC4FE4">
        <w:rPr>
          <w:rFonts w:cstheme="minorHAnsi"/>
        </w:rPr>
        <w:t xml:space="preserve"> </w:t>
      </w:r>
      <w:r w:rsidR="00BC4FE4" w:rsidRPr="00BC4FE4">
        <w:rPr>
          <w:rFonts w:cstheme="minorHAnsi"/>
          <w:b/>
          <w:bCs/>
          <w:color w:val="000000"/>
          <w:shd w:val="clear" w:color="auto" w:fill="FFFFFF"/>
        </w:rPr>
        <w:t>by Excellent Revenue Growth with</w:t>
      </w:r>
      <w:r w:rsidR="00BC4FE4">
        <w:rPr>
          <w:rFonts w:cstheme="minorHAnsi"/>
          <w:b/>
          <w:bCs/>
          <w:color w:val="000000"/>
          <w:shd w:val="clear" w:color="auto" w:fill="FFFFFF"/>
        </w:rPr>
        <w:t xml:space="preserve"> </w:t>
      </w:r>
      <w:r w:rsidR="00BC4FE4" w:rsidRPr="00BC4FE4">
        <w:rPr>
          <w:rFonts w:cstheme="minorHAnsi"/>
          <w:b/>
          <w:bCs/>
          <w:color w:val="000000"/>
          <w:shd w:val="clear" w:color="auto" w:fill="FFFFFF"/>
        </w:rPr>
        <w:t xml:space="preserve">Merck </w:t>
      </w:r>
      <w:proofErr w:type="spellStart"/>
      <w:r w:rsidR="00BC4FE4" w:rsidRPr="00BC4FE4">
        <w:rPr>
          <w:rFonts w:cstheme="minorHAnsi"/>
          <w:b/>
          <w:bCs/>
          <w:color w:val="000000"/>
          <w:shd w:val="clear" w:color="auto" w:fill="FFFFFF"/>
        </w:rPr>
        <w:t>KGaA</w:t>
      </w:r>
      <w:proofErr w:type="spellEnd"/>
      <w:r w:rsidR="00BC4FE4">
        <w:rPr>
          <w:rFonts w:cstheme="minorHAnsi"/>
          <w:b/>
          <w:bCs/>
          <w:color w:val="000000"/>
          <w:shd w:val="clear" w:color="auto" w:fill="FFFFFF"/>
        </w:rPr>
        <w:t xml:space="preserve">, </w:t>
      </w:r>
      <w:proofErr w:type="spellStart"/>
      <w:r w:rsidR="00BC4FE4" w:rsidRPr="00BC4FE4">
        <w:rPr>
          <w:rFonts w:cstheme="minorHAnsi"/>
          <w:b/>
          <w:bCs/>
          <w:color w:val="000000"/>
          <w:shd w:val="clear" w:color="auto" w:fill="FFFFFF"/>
        </w:rPr>
        <w:t>Cytiva</w:t>
      </w:r>
      <w:proofErr w:type="spellEnd"/>
      <w:r w:rsidR="00BC4FE4">
        <w:rPr>
          <w:rFonts w:cstheme="minorHAnsi"/>
          <w:b/>
          <w:bCs/>
          <w:color w:val="000000"/>
          <w:shd w:val="clear" w:color="auto" w:fill="FFFFFF"/>
        </w:rPr>
        <w:t xml:space="preserve">, </w:t>
      </w:r>
      <w:r w:rsidR="00BC4FE4" w:rsidRPr="00BC4FE4">
        <w:rPr>
          <w:rFonts w:cstheme="minorHAnsi"/>
          <w:b/>
          <w:bCs/>
          <w:color w:val="000000"/>
          <w:shd w:val="clear" w:color="auto" w:fill="FFFFFF"/>
        </w:rPr>
        <w:t>Olympus Corporation</w:t>
      </w:r>
      <w:r w:rsidR="00BC4FE4">
        <w:rPr>
          <w:rFonts w:cstheme="minorHAnsi"/>
          <w:b/>
          <w:bCs/>
          <w:color w:val="000000"/>
          <w:shd w:val="clear" w:color="auto" w:fill="FFFFFF"/>
        </w:rPr>
        <w:t xml:space="preserve">, </w:t>
      </w:r>
      <w:r w:rsidR="00BC4FE4" w:rsidRPr="00BC4FE4">
        <w:rPr>
          <w:rFonts w:cstheme="minorHAnsi"/>
          <w:b/>
          <w:bCs/>
          <w:color w:val="000000"/>
          <w:shd w:val="clear" w:color="auto" w:fill="FFFFFF"/>
        </w:rPr>
        <w:t>Sysmex</w:t>
      </w:r>
    </w:p>
    <w:p w14:paraId="2107BE31" w14:textId="0B9C7D2F" w:rsidR="00A3605C" w:rsidRDefault="00A3605C" w:rsidP="00A3605C">
      <w:pPr>
        <w:rPr>
          <w:rFonts w:cstheme="minorHAnsi"/>
          <w:color w:val="000000"/>
          <w:shd w:val="clear" w:color="auto" w:fill="FFFFFF"/>
        </w:rPr>
      </w:pPr>
      <w:r w:rsidRPr="00A3605C">
        <w:rPr>
          <w:rFonts w:cstheme="minorHAnsi"/>
          <w:color w:val="000000"/>
          <w:shd w:val="clear" w:color="auto" w:fill="FFFFFF"/>
        </w:rPr>
        <w:t xml:space="preserve">The global </w:t>
      </w:r>
      <w:hyperlink r:id="rId5" w:history="1">
        <w:r w:rsidRPr="00A3605C">
          <w:rPr>
            <w:rStyle w:val="Hyperlink"/>
            <w:rFonts w:cstheme="minorHAnsi"/>
            <w:shd w:val="clear" w:color="auto" w:fill="FFFFFF"/>
          </w:rPr>
          <w:t>cell analysis market</w:t>
        </w:r>
      </w:hyperlink>
      <w:r w:rsidRPr="00A3605C">
        <w:rPr>
          <w:rFonts w:cstheme="minorHAnsi"/>
          <w:color w:val="000000"/>
          <w:shd w:val="clear" w:color="auto" w:fill="FFFFFF"/>
        </w:rPr>
        <w:t xml:space="preserve"> was pegged at US$ 17.12 billion in 2020 and is expected to witness a CAGR of 7% during the forecast period.</w:t>
      </w:r>
      <w:r w:rsidRPr="00A3605C">
        <w:rPr>
          <w:rFonts w:cstheme="minorHAnsi"/>
          <w:color w:val="000000"/>
          <w:shd w:val="clear" w:color="auto" w:fill="FFFFFF"/>
        </w:rPr>
        <w:t xml:space="preserve"> </w:t>
      </w:r>
    </w:p>
    <w:p w14:paraId="7463E527" w14:textId="0BBE5D23" w:rsidR="00A3605C" w:rsidRDefault="00A3605C" w:rsidP="00A3605C">
      <w:r w:rsidRPr="008F5C17">
        <w:t xml:space="preserve">Cell-based diagnostics give a lot of information in fundamental research, drug discovery and development, and clinical applications. Cell analysis is important for understanding, predicting, and eventually </w:t>
      </w:r>
      <w:proofErr w:type="spellStart"/>
      <w:r w:rsidRPr="008F5C17">
        <w:t>analyzing</w:t>
      </w:r>
      <w:proofErr w:type="spellEnd"/>
      <w:r w:rsidRPr="008F5C17">
        <w:t xml:space="preserve"> factors through the use of numerous technologies such as PCR, Sequencing, Microfluidics, Spectrometry, Microscopes, High content analysis, and others. All of these methods are important in </w:t>
      </w:r>
      <w:proofErr w:type="spellStart"/>
      <w:r w:rsidRPr="008F5C17">
        <w:t>analyzing</w:t>
      </w:r>
      <w:proofErr w:type="spellEnd"/>
      <w:r w:rsidRPr="008F5C17">
        <w:t xml:space="preserve"> gene, protein, and RNA expression in cells for study, diagnosis, and treatment development. </w:t>
      </w:r>
    </w:p>
    <w:p w14:paraId="138BBFC7" w14:textId="77777777" w:rsidR="00A3605C" w:rsidRDefault="00A3605C" w:rsidP="00A3605C">
      <w:r w:rsidRPr="008F5C17">
        <w:t>Reduced time and expense associated with drug discovery procedures are made possible by the improved accuracy of cell imaging and analysis systems. Today, thousands of cells are examined in each sample during mass cell analysis, and results are evaluated based on the average response of the cells. Emerging Asian economies offer profitable opportunities for market growth with low costs associated with raw materials. Several government authorities in the Asia Pacific region are focusing on life science research, specifically post the outbreak of the COVID-19 pandemic.</w:t>
      </w:r>
    </w:p>
    <w:p w14:paraId="620831A9" w14:textId="67433ED5" w:rsidR="00812A49" w:rsidRPr="00CE2923" w:rsidRDefault="00A3605C" w:rsidP="00124F0A">
      <w:r w:rsidRPr="00A3605C">
        <w:rPr>
          <w:b/>
          <w:bCs/>
        </w:rPr>
        <w:t>Download this PDF at:</w:t>
      </w:r>
      <w:r>
        <w:rPr>
          <w:b/>
          <w:bCs/>
        </w:rPr>
        <w:t xml:space="preserve"> </w:t>
      </w:r>
      <w:hyperlink r:id="rId6" w:history="1">
        <w:r w:rsidR="00CE2923" w:rsidRPr="00CE2923">
          <w:rPr>
            <w:rStyle w:val="Hyperlink"/>
          </w:rPr>
          <w:t>https://growthplusreports.com/inquiry/request-sample/cell-analysis-market/7628</w:t>
        </w:r>
      </w:hyperlink>
    </w:p>
    <w:p w14:paraId="6C290BB4" w14:textId="1E22FC08" w:rsidR="00124F0A" w:rsidRDefault="00124F0A" w:rsidP="00124F0A">
      <w:r w:rsidRPr="007837B4">
        <w:t xml:space="preserve">The report includes an in-depth study of the global market </w:t>
      </w:r>
      <w:r w:rsidR="0036757D">
        <w:t>Cell Analysis</w:t>
      </w:r>
      <w:r w:rsidRPr="007837B4">
        <w:t xml:space="preserve">, where segments and sub-segments are </w:t>
      </w:r>
      <w:r w:rsidR="00DD42D2" w:rsidRPr="007837B4">
        <w:t>analysed</w:t>
      </w:r>
      <w:r w:rsidRPr="007837B4">
        <w:t xml:space="preserve"> in quite</w:t>
      </w:r>
      <w:r>
        <w:t xml:space="preserve"> a</w:t>
      </w:r>
      <w:r w:rsidRPr="007837B4">
        <w:t xml:space="preserve"> detail. This research will help players focus on </w:t>
      </w:r>
      <w:r>
        <w:t>high-growth</w:t>
      </w:r>
      <w:r w:rsidRPr="007837B4">
        <w:t xml:space="preserve"> segments and modify their business </w:t>
      </w:r>
      <w:r>
        <w:t>strategies</w:t>
      </w:r>
      <w:r w:rsidRPr="007837B4">
        <w:t xml:space="preserve"> if needed. The </w:t>
      </w:r>
      <w:r>
        <w:t>Diabetes Care Devices</w:t>
      </w:r>
      <w:r w:rsidRPr="007837B4">
        <w:t xml:space="preserve"> global market is segmented based on </w:t>
      </w:r>
      <w:r w:rsidRPr="00771DC7">
        <w:t>Products</w:t>
      </w:r>
      <w:r w:rsidRPr="007837B4">
        <w:t xml:space="preserve">, </w:t>
      </w:r>
      <w:r w:rsidRPr="00771DC7">
        <w:t>Technology</w:t>
      </w:r>
      <w:r>
        <w:t>,</w:t>
      </w:r>
      <w:r w:rsidRPr="007837B4">
        <w:t xml:space="preserve"> and </w:t>
      </w:r>
      <w:r>
        <w:t>End Users</w:t>
      </w:r>
      <w:r w:rsidRPr="007837B4">
        <w:t xml:space="preserve">. The regional segmentation research presented in the report provides players with valuable insights and data regarding key geographic markets such as </w:t>
      </w:r>
      <w:r w:rsidRPr="00771DC7">
        <w:t>North America, Europe, Asia Pacific, and the Rest of the World (</w:t>
      </w:r>
      <w:proofErr w:type="spellStart"/>
      <w:r w:rsidRPr="00771DC7">
        <w:t>RoW</w:t>
      </w:r>
      <w:proofErr w:type="spellEnd"/>
      <w:r w:rsidRPr="00771DC7">
        <w:t>)</w:t>
      </w:r>
      <w:r w:rsidRPr="007837B4">
        <w:t>. Our researchers and analysts use reliable primary and secondary sources for research and data.</w:t>
      </w:r>
    </w:p>
    <w:p w14:paraId="36F723EB" w14:textId="3EAF57CC" w:rsidR="00D64B73" w:rsidRPr="00022463" w:rsidRDefault="00A3605C" w:rsidP="00D64B73">
      <w:pPr>
        <w:shd w:val="clear" w:color="auto" w:fill="FFFFFF"/>
        <w:spacing w:after="300" w:line="240" w:lineRule="auto"/>
        <w:outlineLvl w:val="1"/>
        <w:rPr>
          <w:b/>
          <w:bCs/>
        </w:rPr>
      </w:pPr>
      <w:r>
        <w:rPr>
          <w:b/>
          <w:bCs/>
        </w:rPr>
        <w:t>Key Players:</w:t>
      </w:r>
    </w:p>
    <w:p w14:paraId="1824F706" w14:textId="77777777" w:rsidR="00A3605C" w:rsidRPr="00A3605C" w:rsidRDefault="00A3605C" w:rsidP="00A3605C">
      <w:pPr>
        <w:pStyle w:val="ListParagraph"/>
        <w:numPr>
          <w:ilvl w:val="0"/>
          <w:numId w:val="20"/>
        </w:numPr>
      </w:pPr>
      <w:r w:rsidRPr="00A3605C">
        <w:t>Beckman Coulter, Inc</w:t>
      </w:r>
    </w:p>
    <w:p w14:paraId="5D2550FC" w14:textId="77777777" w:rsidR="00A3605C" w:rsidRPr="00A3605C" w:rsidRDefault="00A3605C" w:rsidP="00A3605C">
      <w:pPr>
        <w:pStyle w:val="ListParagraph"/>
        <w:numPr>
          <w:ilvl w:val="0"/>
          <w:numId w:val="20"/>
        </w:numPr>
      </w:pPr>
      <w:proofErr w:type="spellStart"/>
      <w:r w:rsidRPr="00A3605C">
        <w:t>Thermo</w:t>
      </w:r>
      <w:proofErr w:type="spellEnd"/>
      <w:r w:rsidRPr="00A3605C">
        <w:t xml:space="preserve"> Fisher Scientific</w:t>
      </w:r>
    </w:p>
    <w:p w14:paraId="7BA0A909" w14:textId="77777777" w:rsidR="00A3605C" w:rsidRPr="00A3605C" w:rsidRDefault="00A3605C" w:rsidP="00A3605C">
      <w:pPr>
        <w:pStyle w:val="ListParagraph"/>
        <w:numPr>
          <w:ilvl w:val="0"/>
          <w:numId w:val="20"/>
        </w:numPr>
      </w:pPr>
      <w:r w:rsidRPr="00A3605C">
        <w:t>BD</w:t>
      </w:r>
    </w:p>
    <w:p w14:paraId="5D81C823" w14:textId="77777777" w:rsidR="00A3605C" w:rsidRPr="00A3605C" w:rsidRDefault="00A3605C" w:rsidP="00A3605C">
      <w:pPr>
        <w:pStyle w:val="ListParagraph"/>
        <w:numPr>
          <w:ilvl w:val="0"/>
          <w:numId w:val="20"/>
        </w:numPr>
      </w:pPr>
      <w:r w:rsidRPr="00A3605C">
        <w:t xml:space="preserve">Merck </w:t>
      </w:r>
      <w:proofErr w:type="spellStart"/>
      <w:r w:rsidRPr="00A3605C">
        <w:t>KGaA</w:t>
      </w:r>
      <w:proofErr w:type="spellEnd"/>
    </w:p>
    <w:p w14:paraId="56E7C8F2" w14:textId="77777777" w:rsidR="00A3605C" w:rsidRPr="00A3605C" w:rsidRDefault="00A3605C" w:rsidP="00A3605C">
      <w:pPr>
        <w:pStyle w:val="ListParagraph"/>
        <w:numPr>
          <w:ilvl w:val="0"/>
          <w:numId w:val="20"/>
        </w:numPr>
      </w:pPr>
      <w:proofErr w:type="spellStart"/>
      <w:r w:rsidRPr="00A3605C">
        <w:t>Cytiva</w:t>
      </w:r>
      <w:proofErr w:type="spellEnd"/>
    </w:p>
    <w:p w14:paraId="1514CAC7" w14:textId="77777777" w:rsidR="00A3605C" w:rsidRPr="00A3605C" w:rsidRDefault="00A3605C" w:rsidP="00A3605C">
      <w:pPr>
        <w:pStyle w:val="ListParagraph"/>
        <w:numPr>
          <w:ilvl w:val="0"/>
          <w:numId w:val="20"/>
        </w:numPr>
      </w:pPr>
      <w:r w:rsidRPr="00A3605C">
        <w:t>Agilent Technologies, Inc</w:t>
      </w:r>
    </w:p>
    <w:p w14:paraId="59B3E61E" w14:textId="77777777" w:rsidR="00A3605C" w:rsidRPr="00A3605C" w:rsidRDefault="00A3605C" w:rsidP="00A3605C">
      <w:pPr>
        <w:pStyle w:val="ListParagraph"/>
        <w:numPr>
          <w:ilvl w:val="0"/>
          <w:numId w:val="20"/>
        </w:numPr>
      </w:pPr>
      <w:r w:rsidRPr="00A3605C">
        <w:t>Olympus Corporation</w:t>
      </w:r>
    </w:p>
    <w:p w14:paraId="65900515" w14:textId="77777777" w:rsidR="00A3605C" w:rsidRPr="00A3605C" w:rsidRDefault="00A3605C" w:rsidP="00A3605C">
      <w:pPr>
        <w:pStyle w:val="ListParagraph"/>
        <w:numPr>
          <w:ilvl w:val="0"/>
          <w:numId w:val="20"/>
        </w:numPr>
      </w:pPr>
      <w:r w:rsidRPr="00A3605C">
        <w:t>PerkinElmer Inc</w:t>
      </w:r>
    </w:p>
    <w:p w14:paraId="611FDDF4" w14:textId="77777777" w:rsidR="00A3605C" w:rsidRPr="00A3605C" w:rsidRDefault="00A3605C" w:rsidP="00A3605C">
      <w:pPr>
        <w:pStyle w:val="ListParagraph"/>
        <w:numPr>
          <w:ilvl w:val="0"/>
          <w:numId w:val="20"/>
        </w:numPr>
      </w:pPr>
      <w:r w:rsidRPr="00A3605C">
        <w:t>Promega Corporation</w:t>
      </w:r>
    </w:p>
    <w:p w14:paraId="60072E46" w14:textId="12846A6A" w:rsidR="00A3605C" w:rsidRPr="00A3605C" w:rsidRDefault="00A3605C" w:rsidP="00A3605C">
      <w:pPr>
        <w:pStyle w:val="ListParagraph"/>
        <w:numPr>
          <w:ilvl w:val="0"/>
          <w:numId w:val="20"/>
        </w:numPr>
      </w:pPr>
      <w:r w:rsidRPr="00A3605C">
        <w:t>Sysmex</w:t>
      </w:r>
    </w:p>
    <w:p w14:paraId="2FE7FE05" w14:textId="42BCCCBC" w:rsidR="00A3605C" w:rsidRDefault="00A3605C" w:rsidP="000B5E0B">
      <w:pPr>
        <w:rPr>
          <w:b/>
          <w:bCs/>
        </w:rPr>
      </w:pPr>
      <w:r>
        <w:rPr>
          <w:b/>
          <w:bCs/>
        </w:rPr>
        <w:t>B</w:t>
      </w:r>
      <w:r w:rsidRPr="00A3605C">
        <w:rPr>
          <w:b/>
          <w:bCs/>
        </w:rPr>
        <w:t>y Offering</w:t>
      </w:r>
      <w:r>
        <w:rPr>
          <w:b/>
          <w:bCs/>
        </w:rPr>
        <w:t>:</w:t>
      </w:r>
    </w:p>
    <w:p w14:paraId="3053CD66" w14:textId="69E434D6" w:rsidR="00A3605C" w:rsidRPr="00A3605C" w:rsidRDefault="00A3605C" w:rsidP="00A3605C">
      <w:pPr>
        <w:pStyle w:val="ListParagraph"/>
        <w:numPr>
          <w:ilvl w:val="0"/>
          <w:numId w:val="18"/>
        </w:numPr>
      </w:pPr>
      <w:r w:rsidRPr="00A3605C">
        <w:t>Consumables</w:t>
      </w:r>
    </w:p>
    <w:p w14:paraId="72CBD6FF" w14:textId="05FEDF2C" w:rsidR="00A3605C" w:rsidRPr="00A3605C" w:rsidRDefault="00A3605C" w:rsidP="00A3605C">
      <w:pPr>
        <w:pStyle w:val="ListParagraph"/>
        <w:numPr>
          <w:ilvl w:val="0"/>
          <w:numId w:val="18"/>
        </w:numPr>
      </w:pPr>
      <w:r w:rsidRPr="00A3605C">
        <w:t>Instruments</w:t>
      </w:r>
    </w:p>
    <w:p w14:paraId="1DC456A1" w14:textId="0CDD341E" w:rsidR="00A3605C" w:rsidRPr="00A3605C" w:rsidRDefault="00A3605C" w:rsidP="00A3605C">
      <w:pPr>
        <w:pStyle w:val="ListParagraph"/>
        <w:numPr>
          <w:ilvl w:val="0"/>
          <w:numId w:val="18"/>
        </w:numPr>
      </w:pPr>
      <w:r w:rsidRPr="00A3605C">
        <w:t>Software</w:t>
      </w:r>
    </w:p>
    <w:p w14:paraId="574E3AA9" w14:textId="77777777" w:rsidR="00A3605C" w:rsidRDefault="00A3605C" w:rsidP="000B5E0B">
      <w:pPr>
        <w:rPr>
          <w:b/>
          <w:bCs/>
        </w:rPr>
      </w:pPr>
    </w:p>
    <w:p w14:paraId="12C6039B" w14:textId="15F9FAD3" w:rsidR="00A3605C" w:rsidRDefault="00A3605C" w:rsidP="000B5E0B">
      <w:pPr>
        <w:rPr>
          <w:b/>
          <w:bCs/>
        </w:rPr>
      </w:pPr>
      <w:r>
        <w:rPr>
          <w:b/>
          <w:bCs/>
        </w:rPr>
        <w:lastRenderedPageBreak/>
        <w:t xml:space="preserve">By </w:t>
      </w:r>
      <w:r w:rsidRPr="00A3605C">
        <w:rPr>
          <w:b/>
          <w:bCs/>
        </w:rPr>
        <w:t>Application</w:t>
      </w:r>
      <w:r>
        <w:rPr>
          <w:b/>
          <w:bCs/>
        </w:rPr>
        <w:t>:</w:t>
      </w:r>
    </w:p>
    <w:p w14:paraId="3218263A" w14:textId="7741DCDD" w:rsidR="00A3605C" w:rsidRPr="00A3605C" w:rsidRDefault="00A3605C" w:rsidP="00A3605C">
      <w:pPr>
        <w:pStyle w:val="ListParagraph"/>
        <w:numPr>
          <w:ilvl w:val="0"/>
          <w:numId w:val="19"/>
        </w:numPr>
      </w:pPr>
      <w:r w:rsidRPr="00A3605C">
        <w:t>Cell Identification</w:t>
      </w:r>
    </w:p>
    <w:p w14:paraId="34C2F38F" w14:textId="52BB7F3F" w:rsidR="00A3605C" w:rsidRPr="00A3605C" w:rsidRDefault="00A3605C" w:rsidP="00A3605C">
      <w:pPr>
        <w:pStyle w:val="ListParagraph"/>
        <w:numPr>
          <w:ilvl w:val="0"/>
          <w:numId w:val="19"/>
        </w:numPr>
      </w:pPr>
      <w:r w:rsidRPr="00A3605C">
        <w:t>Cell Viability</w:t>
      </w:r>
    </w:p>
    <w:p w14:paraId="7E0D870C" w14:textId="00FAB918" w:rsidR="00A3605C" w:rsidRPr="00A3605C" w:rsidRDefault="00A3605C" w:rsidP="00A3605C">
      <w:pPr>
        <w:pStyle w:val="ListParagraph"/>
        <w:numPr>
          <w:ilvl w:val="0"/>
          <w:numId w:val="19"/>
        </w:numPr>
      </w:pPr>
      <w:r w:rsidRPr="00A3605C">
        <w:t xml:space="preserve">Cell </w:t>
      </w:r>
      <w:proofErr w:type="spellStart"/>
      <w:r w:rsidRPr="00A3605C">
        <w:t>Signaling</w:t>
      </w:r>
      <w:proofErr w:type="spellEnd"/>
      <w:r w:rsidRPr="00A3605C">
        <w:t xml:space="preserve"> Pathway/Signal Transduction</w:t>
      </w:r>
    </w:p>
    <w:p w14:paraId="2D9B8E4F" w14:textId="672092F6" w:rsidR="00A3605C" w:rsidRPr="00A3605C" w:rsidRDefault="00A3605C" w:rsidP="00A3605C">
      <w:pPr>
        <w:pStyle w:val="ListParagraph"/>
        <w:numPr>
          <w:ilvl w:val="0"/>
          <w:numId w:val="19"/>
        </w:numPr>
      </w:pPr>
      <w:r w:rsidRPr="00A3605C">
        <w:t>Cell Proliferation</w:t>
      </w:r>
    </w:p>
    <w:p w14:paraId="67B2C387" w14:textId="4EB634D3" w:rsidR="00A3605C" w:rsidRPr="00A3605C" w:rsidRDefault="00A3605C" w:rsidP="00A3605C">
      <w:pPr>
        <w:pStyle w:val="ListParagraph"/>
        <w:numPr>
          <w:ilvl w:val="0"/>
          <w:numId w:val="19"/>
        </w:numPr>
      </w:pPr>
      <w:r w:rsidRPr="00A3605C">
        <w:t>Cell Counting &amp; Quality Control</w:t>
      </w:r>
    </w:p>
    <w:p w14:paraId="3F155333" w14:textId="5D28E5BF" w:rsidR="00A3605C" w:rsidRPr="00A3605C" w:rsidRDefault="00A3605C" w:rsidP="00A3605C">
      <w:pPr>
        <w:pStyle w:val="ListParagraph"/>
        <w:numPr>
          <w:ilvl w:val="0"/>
          <w:numId w:val="19"/>
        </w:numPr>
      </w:pPr>
      <w:r w:rsidRPr="00A3605C">
        <w:t>Target Identification &amp; Validation</w:t>
      </w:r>
    </w:p>
    <w:p w14:paraId="0502BBD6" w14:textId="25863C6C" w:rsidR="00A3605C" w:rsidRPr="00A3605C" w:rsidRDefault="00A3605C" w:rsidP="00A3605C">
      <w:pPr>
        <w:pStyle w:val="ListParagraph"/>
        <w:numPr>
          <w:ilvl w:val="0"/>
          <w:numId w:val="19"/>
        </w:numPr>
      </w:pPr>
      <w:r w:rsidRPr="00A3605C">
        <w:t>Single-cell Analysis</w:t>
      </w:r>
    </w:p>
    <w:p w14:paraId="1BF4CE5A" w14:textId="6C86A614" w:rsidR="00D76ACB" w:rsidRPr="00A3605C" w:rsidRDefault="00124F0A" w:rsidP="000B5E0B">
      <w:r w:rsidRPr="003A7ECC">
        <w:rPr>
          <w:b/>
          <w:bCs/>
        </w:rPr>
        <w:t xml:space="preserve">Browse </w:t>
      </w:r>
      <w:r>
        <w:rPr>
          <w:b/>
          <w:bCs/>
        </w:rPr>
        <w:t xml:space="preserve">the </w:t>
      </w:r>
      <w:r w:rsidRPr="003A7ECC">
        <w:rPr>
          <w:b/>
          <w:bCs/>
        </w:rPr>
        <w:t xml:space="preserve">full report now: </w:t>
      </w:r>
      <w:hyperlink r:id="rId7" w:history="1">
        <w:r w:rsidR="00A3605C" w:rsidRPr="00A3605C">
          <w:rPr>
            <w:rStyle w:val="Hyperlink"/>
          </w:rPr>
          <w:t>https://growthplusreports.com/report/cell-analysis-market/7628</w:t>
        </w:r>
      </w:hyperlink>
    </w:p>
    <w:p w14:paraId="5E8232FB" w14:textId="77777777" w:rsidR="00A3605C" w:rsidRPr="00A3605C" w:rsidRDefault="00A3605C" w:rsidP="00A3605C">
      <w:pPr>
        <w:rPr>
          <w:b/>
          <w:bCs/>
        </w:rPr>
      </w:pPr>
      <w:r w:rsidRPr="00A3605C">
        <w:rPr>
          <w:b/>
          <w:bCs/>
        </w:rPr>
        <w:t>Key Reasons to Purchase:</w:t>
      </w:r>
    </w:p>
    <w:p w14:paraId="43EAAFC9" w14:textId="558B19FB" w:rsidR="00A3605C" w:rsidRDefault="00A3605C" w:rsidP="00A3605C">
      <w:pPr>
        <w:pStyle w:val="ListParagraph"/>
        <w:numPr>
          <w:ilvl w:val="0"/>
          <w:numId w:val="21"/>
        </w:numPr>
      </w:pPr>
      <w:r>
        <w:t>To gain insightful analyses of the market and have a comprehensive understanding of the global market and its commercial landscape.</w:t>
      </w:r>
    </w:p>
    <w:p w14:paraId="1D667B60" w14:textId="7B76A255" w:rsidR="00A3605C" w:rsidRDefault="00A3605C" w:rsidP="00A3605C">
      <w:pPr>
        <w:pStyle w:val="ListParagraph"/>
        <w:numPr>
          <w:ilvl w:val="0"/>
          <w:numId w:val="21"/>
        </w:numPr>
      </w:pPr>
      <w:r>
        <w:t>Assess the production processes, major issues, and solutions to mitigate the development risk.</w:t>
      </w:r>
    </w:p>
    <w:p w14:paraId="7F97E50B" w14:textId="4598D591" w:rsidR="00A3605C" w:rsidRDefault="00A3605C" w:rsidP="00A3605C">
      <w:pPr>
        <w:pStyle w:val="ListParagraph"/>
        <w:numPr>
          <w:ilvl w:val="0"/>
          <w:numId w:val="21"/>
        </w:numPr>
      </w:pPr>
      <w:r>
        <w:t xml:space="preserve">To understand the most affecting driving and restraining forces in </w:t>
      </w:r>
      <w:r w:rsidRPr="00A3605C">
        <w:t>Cell Analysis Market</w:t>
      </w:r>
      <w:r>
        <w:t xml:space="preserve"> and its impact in the global market.</w:t>
      </w:r>
    </w:p>
    <w:p w14:paraId="013AC8AB" w14:textId="29539116" w:rsidR="00A3605C" w:rsidRDefault="00A3605C" w:rsidP="00A3605C">
      <w:pPr>
        <w:pStyle w:val="ListParagraph"/>
        <w:numPr>
          <w:ilvl w:val="0"/>
          <w:numId w:val="21"/>
        </w:numPr>
      </w:pPr>
      <w:r>
        <w:t>Learn about the market strategies that are being adopted by leading respective organizations.</w:t>
      </w:r>
    </w:p>
    <w:p w14:paraId="2241403C" w14:textId="05F1B025" w:rsidR="00A3605C" w:rsidRDefault="00A3605C" w:rsidP="00A3605C">
      <w:pPr>
        <w:pStyle w:val="ListParagraph"/>
        <w:numPr>
          <w:ilvl w:val="0"/>
          <w:numId w:val="21"/>
        </w:numPr>
      </w:pPr>
      <w:r>
        <w:t>To understand the outlook and prospects for the market.</w:t>
      </w:r>
    </w:p>
    <w:p w14:paraId="175AF097" w14:textId="2C358324" w:rsidR="00124F0A" w:rsidRDefault="00124F0A" w:rsidP="000B5E0B">
      <w:pPr>
        <w:rPr>
          <w:rFonts w:ascii="Montserrat" w:hAnsi="Montserrat"/>
          <w:color w:val="373737"/>
        </w:rPr>
      </w:pPr>
      <w:r>
        <w:rPr>
          <w:rFonts w:ascii="Montserrat" w:hAnsi="Montserrat"/>
          <w:b/>
          <w:bCs/>
          <w:color w:val="373737"/>
        </w:rPr>
        <w:t>About Us:</w:t>
      </w:r>
    </w:p>
    <w:p w14:paraId="16CC88C1" w14:textId="19EEBBAD" w:rsidR="00124F0A" w:rsidRPr="00A3605C" w:rsidRDefault="00124F0A" w:rsidP="00124F0A">
      <w:pPr>
        <w:pStyle w:val="NormalWeb"/>
        <w:shd w:val="clear" w:color="auto" w:fill="FFFFFF"/>
        <w:spacing w:before="0" w:beforeAutospacing="0" w:after="525" w:afterAutospacing="0"/>
        <w:rPr>
          <w:rFonts w:asciiTheme="minorHAnsi" w:hAnsiTheme="minorHAnsi" w:cstheme="minorHAnsi"/>
          <w:color w:val="373737"/>
        </w:rPr>
      </w:pPr>
      <w:r w:rsidRPr="00A3605C">
        <w:rPr>
          <w:rFonts w:asciiTheme="minorHAnsi" w:hAnsiTheme="minorHAnsi" w:cstheme="minorHAnsi"/>
          <w:color w:val="373737"/>
        </w:rPr>
        <w:t>Growth</w:t>
      </w:r>
      <w:r w:rsidR="00A3605C">
        <w:rPr>
          <w:rFonts w:asciiTheme="minorHAnsi" w:hAnsiTheme="minorHAnsi" w:cstheme="minorHAnsi"/>
          <w:color w:val="373737"/>
        </w:rPr>
        <w:t xml:space="preserve"> Plus </w:t>
      </w:r>
      <w:r w:rsidRPr="00A3605C">
        <w:rPr>
          <w:rFonts w:asciiTheme="minorHAnsi" w:hAnsiTheme="minorHAnsi" w:cstheme="minorHAnsi"/>
          <w:color w:val="373737"/>
        </w:rPr>
        <w:t xml:space="preserve">Reports is part of GRG Health, a global healthcare knowledge service company. We are proud members of </w:t>
      </w:r>
      <w:proofErr w:type="spellStart"/>
      <w:r w:rsidRPr="00A3605C">
        <w:rPr>
          <w:rFonts w:asciiTheme="minorHAnsi" w:hAnsiTheme="minorHAnsi" w:cstheme="minorHAnsi"/>
          <w:color w:val="373737"/>
        </w:rPr>
        <w:t>EPhMRA</w:t>
      </w:r>
      <w:proofErr w:type="spellEnd"/>
      <w:r w:rsidRPr="00A3605C">
        <w:rPr>
          <w:rFonts w:asciiTheme="minorHAnsi" w:hAnsiTheme="minorHAnsi" w:cstheme="minorHAnsi"/>
          <w:color w:val="373737"/>
        </w:rPr>
        <w:t xml:space="preserve"> (European Pharmaceutical Marketing Research Association).</w:t>
      </w:r>
    </w:p>
    <w:p w14:paraId="3FA71AEC" w14:textId="0226EC70" w:rsidR="00124F0A" w:rsidRPr="00A3605C" w:rsidRDefault="00124F0A" w:rsidP="00124F0A">
      <w:pPr>
        <w:pStyle w:val="NormalWeb"/>
        <w:shd w:val="clear" w:color="auto" w:fill="FFFFFF"/>
        <w:spacing w:before="0" w:beforeAutospacing="0" w:after="525" w:afterAutospacing="0"/>
        <w:rPr>
          <w:rFonts w:asciiTheme="minorHAnsi" w:hAnsiTheme="minorHAnsi" w:cstheme="minorHAnsi"/>
          <w:color w:val="373737"/>
        </w:rPr>
      </w:pPr>
      <w:r w:rsidRPr="00A3605C">
        <w:rPr>
          <w:rFonts w:asciiTheme="minorHAnsi" w:hAnsiTheme="minorHAnsi" w:cstheme="minorHAnsi"/>
          <w:color w:val="373737"/>
        </w:rPr>
        <w:t>Growth</w:t>
      </w:r>
      <w:r w:rsidR="00A3605C">
        <w:rPr>
          <w:rFonts w:asciiTheme="minorHAnsi" w:hAnsiTheme="minorHAnsi" w:cstheme="minorHAnsi"/>
          <w:color w:val="373737"/>
        </w:rPr>
        <w:t xml:space="preserve"> Plus</w:t>
      </w:r>
      <w:r w:rsidRPr="00A3605C">
        <w:rPr>
          <w:rFonts w:asciiTheme="minorHAnsi" w:hAnsiTheme="minorHAnsi" w:cstheme="minorHAnsi"/>
          <w:color w:val="373737"/>
        </w:rPr>
        <w:t xml:space="preserve"> portfolio of services draws on our core capabilities of secondary &amp; primary research, market modelling &amp; forecasting, benchmarking, </w:t>
      </w:r>
      <w:r w:rsidR="00DD42D2" w:rsidRPr="00A3605C">
        <w:rPr>
          <w:rFonts w:asciiTheme="minorHAnsi" w:hAnsiTheme="minorHAnsi" w:cstheme="minorHAnsi"/>
          <w:color w:val="373737"/>
        </w:rPr>
        <w:t>analysis,</w:t>
      </w:r>
      <w:r w:rsidRPr="00A3605C">
        <w:rPr>
          <w:rFonts w:asciiTheme="minorHAnsi" w:hAnsiTheme="minorHAnsi" w:cstheme="minorHAnsi"/>
          <w:color w:val="373737"/>
        </w:rPr>
        <w:t xml:space="preserve"> and strategy formulation to help clients create scalable, ground-breaking solutions that prepare them for future growth and success.</w:t>
      </w:r>
    </w:p>
    <w:p w14:paraId="08C09C2A" w14:textId="77777777" w:rsidR="00124F0A" w:rsidRPr="00A3605C" w:rsidRDefault="00124F0A" w:rsidP="00124F0A">
      <w:pPr>
        <w:pStyle w:val="NormalWeb"/>
        <w:shd w:val="clear" w:color="auto" w:fill="FFFFFF"/>
        <w:spacing w:before="0" w:beforeAutospacing="0" w:after="525" w:afterAutospacing="0"/>
        <w:rPr>
          <w:rFonts w:asciiTheme="minorHAnsi" w:hAnsiTheme="minorHAnsi" w:cstheme="minorHAnsi"/>
          <w:color w:val="373737"/>
        </w:rPr>
      </w:pPr>
      <w:r w:rsidRPr="00A3605C">
        <w:rPr>
          <w:rFonts w:asciiTheme="minorHAnsi" w:hAnsiTheme="minorHAnsi" w:cstheme="minorHAnsi"/>
          <w:color w:val="373737"/>
        </w:rPr>
        <w:t>We were awarded by the prestigious CEO Magazine as "Most Innovative Healthcare Market Research Company in 2020.</w:t>
      </w:r>
    </w:p>
    <w:p w14:paraId="6033B539" w14:textId="77777777" w:rsidR="00124F0A" w:rsidRDefault="00124F0A" w:rsidP="00124F0A"/>
    <w:p w14:paraId="6DFB6432" w14:textId="77777777" w:rsidR="0012122F" w:rsidRDefault="0012122F"/>
    <w:sectPr w:rsidR="00121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D2E"/>
    <w:multiLevelType w:val="multilevel"/>
    <w:tmpl w:val="31B07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64C1A"/>
    <w:multiLevelType w:val="multilevel"/>
    <w:tmpl w:val="9BACA5C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6641126"/>
    <w:multiLevelType w:val="multilevel"/>
    <w:tmpl w:val="37BEFB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669F2"/>
    <w:multiLevelType w:val="hybridMultilevel"/>
    <w:tmpl w:val="8A86BF8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9FD7AAB"/>
    <w:multiLevelType w:val="multilevel"/>
    <w:tmpl w:val="63F8C0A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08C729D"/>
    <w:multiLevelType w:val="hybridMultilevel"/>
    <w:tmpl w:val="995E2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E9184C"/>
    <w:multiLevelType w:val="hybridMultilevel"/>
    <w:tmpl w:val="A45CD0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9825F8"/>
    <w:multiLevelType w:val="multilevel"/>
    <w:tmpl w:val="83B66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CF564E"/>
    <w:multiLevelType w:val="hybridMultilevel"/>
    <w:tmpl w:val="5D26FE3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15:restartNumberingAfterBreak="0">
    <w:nsid w:val="52DB5983"/>
    <w:multiLevelType w:val="multilevel"/>
    <w:tmpl w:val="680274E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C14280E"/>
    <w:multiLevelType w:val="hybridMultilevel"/>
    <w:tmpl w:val="BF548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CE7489D"/>
    <w:multiLevelType w:val="multilevel"/>
    <w:tmpl w:val="CC28C55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30C036E"/>
    <w:multiLevelType w:val="multilevel"/>
    <w:tmpl w:val="6BF27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D62040"/>
    <w:multiLevelType w:val="hybridMultilevel"/>
    <w:tmpl w:val="B9BE6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973300D"/>
    <w:multiLevelType w:val="hybridMultilevel"/>
    <w:tmpl w:val="1E8AF2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6D28695F"/>
    <w:multiLevelType w:val="hybridMultilevel"/>
    <w:tmpl w:val="5B8EB0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0DB56C8"/>
    <w:multiLevelType w:val="hybridMultilevel"/>
    <w:tmpl w:val="F41EE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1CE3FF6"/>
    <w:multiLevelType w:val="hybridMultilevel"/>
    <w:tmpl w:val="0E64787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8" w15:restartNumberingAfterBreak="0">
    <w:nsid w:val="7A295185"/>
    <w:multiLevelType w:val="multilevel"/>
    <w:tmpl w:val="5BDECFD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C5F1765"/>
    <w:multiLevelType w:val="hybridMultilevel"/>
    <w:tmpl w:val="67708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D963C96"/>
    <w:multiLevelType w:val="hybridMultilevel"/>
    <w:tmpl w:val="E976FE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85358391">
    <w:abstractNumId w:val="2"/>
  </w:num>
  <w:num w:numId="2" w16cid:durableId="1799449001">
    <w:abstractNumId w:val="4"/>
  </w:num>
  <w:num w:numId="3" w16cid:durableId="179010644">
    <w:abstractNumId w:val="16"/>
  </w:num>
  <w:num w:numId="4" w16cid:durableId="1871258937">
    <w:abstractNumId w:val="11"/>
  </w:num>
  <w:num w:numId="5" w16cid:durableId="580220026">
    <w:abstractNumId w:val="6"/>
  </w:num>
  <w:num w:numId="6" w16cid:durableId="862942000">
    <w:abstractNumId w:val="9"/>
  </w:num>
  <w:num w:numId="7" w16cid:durableId="598100705">
    <w:abstractNumId w:val="13"/>
  </w:num>
  <w:num w:numId="8" w16cid:durableId="1664429148">
    <w:abstractNumId w:val="18"/>
  </w:num>
  <w:num w:numId="9" w16cid:durableId="781342785">
    <w:abstractNumId w:val="20"/>
  </w:num>
  <w:num w:numId="10" w16cid:durableId="1743286357">
    <w:abstractNumId w:val="1"/>
  </w:num>
  <w:num w:numId="11" w16cid:durableId="1172640649">
    <w:abstractNumId w:val="0"/>
  </w:num>
  <w:num w:numId="12" w16cid:durableId="62527294">
    <w:abstractNumId w:val="14"/>
  </w:num>
  <w:num w:numId="13" w16cid:durableId="487870205">
    <w:abstractNumId w:val="12"/>
  </w:num>
  <w:num w:numId="14" w16cid:durableId="2033605151">
    <w:abstractNumId w:val="3"/>
  </w:num>
  <w:num w:numId="15" w16cid:durableId="477461204">
    <w:abstractNumId w:val="7"/>
  </w:num>
  <w:num w:numId="16" w16cid:durableId="346637289">
    <w:abstractNumId w:val="17"/>
  </w:num>
  <w:num w:numId="17" w16cid:durableId="1264263815">
    <w:abstractNumId w:val="8"/>
  </w:num>
  <w:num w:numId="18" w16cid:durableId="2045128165">
    <w:abstractNumId w:val="10"/>
  </w:num>
  <w:num w:numId="19" w16cid:durableId="689642319">
    <w:abstractNumId w:val="15"/>
  </w:num>
  <w:num w:numId="20" w16cid:durableId="701170545">
    <w:abstractNumId w:val="5"/>
  </w:num>
  <w:num w:numId="21" w16cid:durableId="8177657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0A"/>
    <w:rsid w:val="00022463"/>
    <w:rsid w:val="000B5E0B"/>
    <w:rsid w:val="000C1FD1"/>
    <w:rsid w:val="0012122F"/>
    <w:rsid w:val="00124F0A"/>
    <w:rsid w:val="00184771"/>
    <w:rsid w:val="001A23BD"/>
    <w:rsid w:val="001D5B58"/>
    <w:rsid w:val="00280617"/>
    <w:rsid w:val="00316F28"/>
    <w:rsid w:val="0036757D"/>
    <w:rsid w:val="003B1532"/>
    <w:rsid w:val="003E6859"/>
    <w:rsid w:val="00515895"/>
    <w:rsid w:val="005F759A"/>
    <w:rsid w:val="00676B4A"/>
    <w:rsid w:val="0070705C"/>
    <w:rsid w:val="007101D6"/>
    <w:rsid w:val="00726230"/>
    <w:rsid w:val="008113C3"/>
    <w:rsid w:val="00812A49"/>
    <w:rsid w:val="0084540C"/>
    <w:rsid w:val="00850BA0"/>
    <w:rsid w:val="00A3605C"/>
    <w:rsid w:val="00A655E4"/>
    <w:rsid w:val="00B21A5B"/>
    <w:rsid w:val="00B77386"/>
    <w:rsid w:val="00BC4FE4"/>
    <w:rsid w:val="00CE2923"/>
    <w:rsid w:val="00CE7318"/>
    <w:rsid w:val="00D64B73"/>
    <w:rsid w:val="00D76ACB"/>
    <w:rsid w:val="00DB3867"/>
    <w:rsid w:val="00DD42D2"/>
    <w:rsid w:val="00E10F19"/>
    <w:rsid w:val="00EE65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E0F9"/>
  <w15:chartTrackingRefBased/>
  <w15:docId w15:val="{605068BB-7C12-4199-96D6-3BA6D43C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0A"/>
  </w:style>
  <w:style w:type="paragraph" w:styleId="Heading1">
    <w:name w:val="heading 1"/>
    <w:basedOn w:val="Normal"/>
    <w:next w:val="Normal"/>
    <w:link w:val="Heading1Char"/>
    <w:uiPriority w:val="9"/>
    <w:qFormat/>
    <w:rsid w:val="00850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42D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F0A"/>
    <w:rPr>
      <w:color w:val="0000FF"/>
      <w:u w:val="single"/>
    </w:rPr>
  </w:style>
  <w:style w:type="paragraph" w:styleId="NormalWeb">
    <w:name w:val="Normal (Web)"/>
    <w:basedOn w:val="Normal"/>
    <w:uiPriority w:val="99"/>
    <w:unhideWhenUsed/>
    <w:rsid w:val="00124F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3B1532"/>
    <w:rPr>
      <w:color w:val="605E5C"/>
      <w:shd w:val="clear" w:color="auto" w:fill="E1DFDD"/>
    </w:rPr>
  </w:style>
  <w:style w:type="paragraph" w:styleId="ListParagraph">
    <w:name w:val="List Paragraph"/>
    <w:basedOn w:val="Normal"/>
    <w:uiPriority w:val="34"/>
    <w:qFormat/>
    <w:rsid w:val="00DD42D2"/>
    <w:pPr>
      <w:ind w:left="720"/>
      <w:contextualSpacing/>
    </w:pPr>
  </w:style>
  <w:style w:type="character" w:customStyle="1" w:styleId="Heading2Char">
    <w:name w:val="Heading 2 Char"/>
    <w:basedOn w:val="DefaultParagraphFont"/>
    <w:link w:val="Heading2"/>
    <w:uiPriority w:val="9"/>
    <w:rsid w:val="00DD42D2"/>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850B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148">
      <w:bodyDiv w:val="1"/>
      <w:marLeft w:val="0"/>
      <w:marRight w:val="0"/>
      <w:marTop w:val="0"/>
      <w:marBottom w:val="0"/>
      <w:divBdr>
        <w:top w:val="none" w:sz="0" w:space="0" w:color="auto"/>
        <w:left w:val="none" w:sz="0" w:space="0" w:color="auto"/>
        <w:bottom w:val="none" w:sz="0" w:space="0" w:color="auto"/>
        <w:right w:val="none" w:sz="0" w:space="0" w:color="auto"/>
      </w:divBdr>
    </w:div>
    <w:div w:id="134613297">
      <w:bodyDiv w:val="1"/>
      <w:marLeft w:val="0"/>
      <w:marRight w:val="0"/>
      <w:marTop w:val="0"/>
      <w:marBottom w:val="0"/>
      <w:divBdr>
        <w:top w:val="none" w:sz="0" w:space="0" w:color="auto"/>
        <w:left w:val="none" w:sz="0" w:space="0" w:color="auto"/>
        <w:bottom w:val="none" w:sz="0" w:space="0" w:color="auto"/>
        <w:right w:val="none" w:sz="0" w:space="0" w:color="auto"/>
      </w:divBdr>
    </w:div>
    <w:div w:id="239993432">
      <w:bodyDiv w:val="1"/>
      <w:marLeft w:val="0"/>
      <w:marRight w:val="0"/>
      <w:marTop w:val="0"/>
      <w:marBottom w:val="0"/>
      <w:divBdr>
        <w:top w:val="none" w:sz="0" w:space="0" w:color="auto"/>
        <w:left w:val="none" w:sz="0" w:space="0" w:color="auto"/>
        <w:bottom w:val="none" w:sz="0" w:space="0" w:color="auto"/>
        <w:right w:val="none" w:sz="0" w:space="0" w:color="auto"/>
      </w:divBdr>
    </w:div>
    <w:div w:id="285086488">
      <w:bodyDiv w:val="1"/>
      <w:marLeft w:val="0"/>
      <w:marRight w:val="0"/>
      <w:marTop w:val="0"/>
      <w:marBottom w:val="0"/>
      <w:divBdr>
        <w:top w:val="none" w:sz="0" w:space="0" w:color="auto"/>
        <w:left w:val="none" w:sz="0" w:space="0" w:color="auto"/>
        <w:bottom w:val="none" w:sz="0" w:space="0" w:color="auto"/>
        <w:right w:val="none" w:sz="0" w:space="0" w:color="auto"/>
      </w:divBdr>
    </w:div>
    <w:div w:id="286471140">
      <w:bodyDiv w:val="1"/>
      <w:marLeft w:val="0"/>
      <w:marRight w:val="0"/>
      <w:marTop w:val="0"/>
      <w:marBottom w:val="0"/>
      <w:divBdr>
        <w:top w:val="none" w:sz="0" w:space="0" w:color="auto"/>
        <w:left w:val="none" w:sz="0" w:space="0" w:color="auto"/>
        <w:bottom w:val="none" w:sz="0" w:space="0" w:color="auto"/>
        <w:right w:val="none" w:sz="0" w:space="0" w:color="auto"/>
      </w:divBdr>
    </w:div>
    <w:div w:id="447314171">
      <w:bodyDiv w:val="1"/>
      <w:marLeft w:val="0"/>
      <w:marRight w:val="0"/>
      <w:marTop w:val="0"/>
      <w:marBottom w:val="0"/>
      <w:divBdr>
        <w:top w:val="none" w:sz="0" w:space="0" w:color="auto"/>
        <w:left w:val="none" w:sz="0" w:space="0" w:color="auto"/>
        <w:bottom w:val="none" w:sz="0" w:space="0" w:color="auto"/>
        <w:right w:val="none" w:sz="0" w:space="0" w:color="auto"/>
      </w:divBdr>
    </w:div>
    <w:div w:id="450905691">
      <w:bodyDiv w:val="1"/>
      <w:marLeft w:val="0"/>
      <w:marRight w:val="0"/>
      <w:marTop w:val="0"/>
      <w:marBottom w:val="0"/>
      <w:divBdr>
        <w:top w:val="none" w:sz="0" w:space="0" w:color="auto"/>
        <w:left w:val="none" w:sz="0" w:space="0" w:color="auto"/>
        <w:bottom w:val="none" w:sz="0" w:space="0" w:color="auto"/>
        <w:right w:val="none" w:sz="0" w:space="0" w:color="auto"/>
      </w:divBdr>
    </w:div>
    <w:div w:id="479543301">
      <w:bodyDiv w:val="1"/>
      <w:marLeft w:val="0"/>
      <w:marRight w:val="0"/>
      <w:marTop w:val="0"/>
      <w:marBottom w:val="0"/>
      <w:divBdr>
        <w:top w:val="none" w:sz="0" w:space="0" w:color="auto"/>
        <w:left w:val="none" w:sz="0" w:space="0" w:color="auto"/>
        <w:bottom w:val="none" w:sz="0" w:space="0" w:color="auto"/>
        <w:right w:val="none" w:sz="0" w:space="0" w:color="auto"/>
      </w:divBdr>
    </w:div>
    <w:div w:id="490217282">
      <w:bodyDiv w:val="1"/>
      <w:marLeft w:val="0"/>
      <w:marRight w:val="0"/>
      <w:marTop w:val="0"/>
      <w:marBottom w:val="0"/>
      <w:divBdr>
        <w:top w:val="none" w:sz="0" w:space="0" w:color="auto"/>
        <w:left w:val="none" w:sz="0" w:space="0" w:color="auto"/>
        <w:bottom w:val="none" w:sz="0" w:space="0" w:color="auto"/>
        <w:right w:val="none" w:sz="0" w:space="0" w:color="auto"/>
      </w:divBdr>
    </w:div>
    <w:div w:id="512114880">
      <w:bodyDiv w:val="1"/>
      <w:marLeft w:val="0"/>
      <w:marRight w:val="0"/>
      <w:marTop w:val="0"/>
      <w:marBottom w:val="0"/>
      <w:divBdr>
        <w:top w:val="none" w:sz="0" w:space="0" w:color="auto"/>
        <w:left w:val="none" w:sz="0" w:space="0" w:color="auto"/>
        <w:bottom w:val="none" w:sz="0" w:space="0" w:color="auto"/>
        <w:right w:val="none" w:sz="0" w:space="0" w:color="auto"/>
      </w:divBdr>
    </w:div>
    <w:div w:id="612907930">
      <w:bodyDiv w:val="1"/>
      <w:marLeft w:val="0"/>
      <w:marRight w:val="0"/>
      <w:marTop w:val="0"/>
      <w:marBottom w:val="0"/>
      <w:divBdr>
        <w:top w:val="none" w:sz="0" w:space="0" w:color="auto"/>
        <w:left w:val="none" w:sz="0" w:space="0" w:color="auto"/>
        <w:bottom w:val="none" w:sz="0" w:space="0" w:color="auto"/>
        <w:right w:val="none" w:sz="0" w:space="0" w:color="auto"/>
      </w:divBdr>
    </w:div>
    <w:div w:id="682167512">
      <w:bodyDiv w:val="1"/>
      <w:marLeft w:val="0"/>
      <w:marRight w:val="0"/>
      <w:marTop w:val="0"/>
      <w:marBottom w:val="0"/>
      <w:divBdr>
        <w:top w:val="none" w:sz="0" w:space="0" w:color="auto"/>
        <w:left w:val="none" w:sz="0" w:space="0" w:color="auto"/>
        <w:bottom w:val="none" w:sz="0" w:space="0" w:color="auto"/>
        <w:right w:val="none" w:sz="0" w:space="0" w:color="auto"/>
      </w:divBdr>
    </w:div>
    <w:div w:id="736166863">
      <w:bodyDiv w:val="1"/>
      <w:marLeft w:val="0"/>
      <w:marRight w:val="0"/>
      <w:marTop w:val="0"/>
      <w:marBottom w:val="0"/>
      <w:divBdr>
        <w:top w:val="none" w:sz="0" w:space="0" w:color="auto"/>
        <w:left w:val="none" w:sz="0" w:space="0" w:color="auto"/>
        <w:bottom w:val="none" w:sz="0" w:space="0" w:color="auto"/>
        <w:right w:val="none" w:sz="0" w:space="0" w:color="auto"/>
      </w:divBdr>
    </w:div>
    <w:div w:id="737820423">
      <w:bodyDiv w:val="1"/>
      <w:marLeft w:val="0"/>
      <w:marRight w:val="0"/>
      <w:marTop w:val="0"/>
      <w:marBottom w:val="0"/>
      <w:divBdr>
        <w:top w:val="none" w:sz="0" w:space="0" w:color="auto"/>
        <w:left w:val="none" w:sz="0" w:space="0" w:color="auto"/>
        <w:bottom w:val="none" w:sz="0" w:space="0" w:color="auto"/>
        <w:right w:val="none" w:sz="0" w:space="0" w:color="auto"/>
      </w:divBdr>
    </w:div>
    <w:div w:id="951085408">
      <w:bodyDiv w:val="1"/>
      <w:marLeft w:val="0"/>
      <w:marRight w:val="0"/>
      <w:marTop w:val="0"/>
      <w:marBottom w:val="0"/>
      <w:divBdr>
        <w:top w:val="none" w:sz="0" w:space="0" w:color="auto"/>
        <w:left w:val="none" w:sz="0" w:space="0" w:color="auto"/>
        <w:bottom w:val="none" w:sz="0" w:space="0" w:color="auto"/>
        <w:right w:val="none" w:sz="0" w:space="0" w:color="auto"/>
      </w:divBdr>
    </w:div>
    <w:div w:id="1011026419">
      <w:bodyDiv w:val="1"/>
      <w:marLeft w:val="0"/>
      <w:marRight w:val="0"/>
      <w:marTop w:val="0"/>
      <w:marBottom w:val="0"/>
      <w:divBdr>
        <w:top w:val="none" w:sz="0" w:space="0" w:color="auto"/>
        <w:left w:val="none" w:sz="0" w:space="0" w:color="auto"/>
        <w:bottom w:val="none" w:sz="0" w:space="0" w:color="auto"/>
        <w:right w:val="none" w:sz="0" w:space="0" w:color="auto"/>
      </w:divBdr>
    </w:div>
    <w:div w:id="1082096294">
      <w:bodyDiv w:val="1"/>
      <w:marLeft w:val="0"/>
      <w:marRight w:val="0"/>
      <w:marTop w:val="0"/>
      <w:marBottom w:val="0"/>
      <w:divBdr>
        <w:top w:val="none" w:sz="0" w:space="0" w:color="auto"/>
        <w:left w:val="none" w:sz="0" w:space="0" w:color="auto"/>
        <w:bottom w:val="none" w:sz="0" w:space="0" w:color="auto"/>
        <w:right w:val="none" w:sz="0" w:space="0" w:color="auto"/>
      </w:divBdr>
    </w:div>
    <w:div w:id="1133710903">
      <w:bodyDiv w:val="1"/>
      <w:marLeft w:val="0"/>
      <w:marRight w:val="0"/>
      <w:marTop w:val="0"/>
      <w:marBottom w:val="0"/>
      <w:divBdr>
        <w:top w:val="none" w:sz="0" w:space="0" w:color="auto"/>
        <w:left w:val="none" w:sz="0" w:space="0" w:color="auto"/>
        <w:bottom w:val="none" w:sz="0" w:space="0" w:color="auto"/>
        <w:right w:val="none" w:sz="0" w:space="0" w:color="auto"/>
      </w:divBdr>
    </w:div>
    <w:div w:id="1138573644">
      <w:bodyDiv w:val="1"/>
      <w:marLeft w:val="0"/>
      <w:marRight w:val="0"/>
      <w:marTop w:val="0"/>
      <w:marBottom w:val="0"/>
      <w:divBdr>
        <w:top w:val="none" w:sz="0" w:space="0" w:color="auto"/>
        <w:left w:val="none" w:sz="0" w:space="0" w:color="auto"/>
        <w:bottom w:val="none" w:sz="0" w:space="0" w:color="auto"/>
        <w:right w:val="none" w:sz="0" w:space="0" w:color="auto"/>
      </w:divBdr>
    </w:div>
    <w:div w:id="1287463379">
      <w:bodyDiv w:val="1"/>
      <w:marLeft w:val="0"/>
      <w:marRight w:val="0"/>
      <w:marTop w:val="0"/>
      <w:marBottom w:val="0"/>
      <w:divBdr>
        <w:top w:val="none" w:sz="0" w:space="0" w:color="auto"/>
        <w:left w:val="none" w:sz="0" w:space="0" w:color="auto"/>
        <w:bottom w:val="none" w:sz="0" w:space="0" w:color="auto"/>
        <w:right w:val="none" w:sz="0" w:space="0" w:color="auto"/>
      </w:divBdr>
    </w:div>
    <w:div w:id="1295529229">
      <w:bodyDiv w:val="1"/>
      <w:marLeft w:val="0"/>
      <w:marRight w:val="0"/>
      <w:marTop w:val="0"/>
      <w:marBottom w:val="0"/>
      <w:divBdr>
        <w:top w:val="none" w:sz="0" w:space="0" w:color="auto"/>
        <w:left w:val="none" w:sz="0" w:space="0" w:color="auto"/>
        <w:bottom w:val="none" w:sz="0" w:space="0" w:color="auto"/>
        <w:right w:val="none" w:sz="0" w:space="0" w:color="auto"/>
      </w:divBdr>
    </w:div>
    <w:div w:id="1312752559">
      <w:bodyDiv w:val="1"/>
      <w:marLeft w:val="0"/>
      <w:marRight w:val="0"/>
      <w:marTop w:val="0"/>
      <w:marBottom w:val="0"/>
      <w:divBdr>
        <w:top w:val="none" w:sz="0" w:space="0" w:color="auto"/>
        <w:left w:val="none" w:sz="0" w:space="0" w:color="auto"/>
        <w:bottom w:val="none" w:sz="0" w:space="0" w:color="auto"/>
        <w:right w:val="none" w:sz="0" w:space="0" w:color="auto"/>
      </w:divBdr>
    </w:div>
    <w:div w:id="1333994248">
      <w:bodyDiv w:val="1"/>
      <w:marLeft w:val="0"/>
      <w:marRight w:val="0"/>
      <w:marTop w:val="0"/>
      <w:marBottom w:val="0"/>
      <w:divBdr>
        <w:top w:val="none" w:sz="0" w:space="0" w:color="auto"/>
        <w:left w:val="none" w:sz="0" w:space="0" w:color="auto"/>
        <w:bottom w:val="none" w:sz="0" w:space="0" w:color="auto"/>
        <w:right w:val="none" w:sz="0" w:space="0" w:color="auto"/>
      </w:divBdr>
    </w:div>
    <w:div w:id="1339623250">
      <w:bodyDiv w:val="1"/>
      <w:marLeft w:val="0"/>
      <w:marRight w:val="0"/>
      <w:marTop w:val="0"/>
      <w:marBottom w:val="0"/>
      <w:divBdr>
        <w:top w:val="none" w:sz="0" w:space="0" w:color="auto"/>
        <w:left w:val="none" w:sz="0" w:space="0" w:color="auto"/>
        <w:bottom w:val="none" w:sz="0" w:space="0" w:color="auto"/>
        <w:right w:val="none" w:sz="0" w:space="0" w:color="auto"/>
      </w:divBdr>
    </w:div>
    <w:div w:id="1361859587">
      <w:bodyDiv w:val="1"/>
      <w:marLeft w:val="0"/>
      <w:marRight w:val="0"/>
      <w:marTop w:val="0"/>
      <w:marBottom w:val="0"/>
      <w:divBdr>
        <w:top w:val="none" w:sz="0" w:space="0" w:color="auto"/>
        <w:left w:val="none" w:sz="0" w:space="0" w:color="auto"/>
        <w:bottom w:val="none" w:sz="0" w:space="0" w:color="auto"/>
        <w:right w:val="none" w:sz="0" w:space="0" w:color="auto"/>
      </w:divBdr>
    </w:div>
    <w:div w:id="1374577201">
      <w:bodyDiv w:val="1"/>
      <w:marLeft w:val="0"/>
      <w:marRight w:val="0"/>
      <w:marTop w:val="0"/>
      <w:marBottom w:val="0"/>
      <w:divBdr>
        <w:top w:val="none" w:sz="0" w:space="0" w:color="auto"/>
        <w:left w:val="none" w:sz="0" w:space="0" w:color="auto"/>
        <w:bottom w:val="none" w:sz="0" w:space="0" w:color="auto"/>
        <w:right w:val="none" w:sz="0" w:space="0" w:color="auto"/>
      </w:divBdr>
    </w:div>
    <w:div w:id="1387602026">
      <w:bodyDiv w:val="1"/>
      <w:marLeft w:val="0"/>
      <w:marRight w:val="0"/>
      <w:marTop w:val="0"/>
      <w:marBottom w:val="0"/>
      <w:divBdr>
        <w:top w:val="none" w:sz="0" w:space="0" w:color="auto"/>
        <w:left w:val="none" w:sz="0" w:space="0" w:color="auto"/>
        <w:bottom w:val="none" w:sz="0" w:space="0" w:color="auto"/>
        <w:right w:val="none" w:sz="0" w:space="0" w:color="auto"/>
      </w:divBdr>
    </w:div>
    <w:div w:id="1445074357">
      <w:bodyDiv w:val="1"/>
      <w:marLeft w:val="0"/>
      <w:marRight w:val="0"/>
      <w:marTop w:val="0"/>
      <w:marBottom w:val="0"/>
      <w:divBdr>
        <w:top w:val="none" w:sz="0" w:space="0" w:color="auto"/>
        <w:left w:val="none" w:sz="0" w:space="0" w:color="auto"/>
        <w:bottom w:val="none" w:sz="0" w:space="0" w:color="auto"/>
        <w:right w:val="none" w:sz="0" w:space="0" w:color="auto"/>
      </w:divBdr>
    </w:div>
    <w:div w:id="1550459595">
      <w:bodyDiv w:val="1"/>
      <w:marLeft w:val="0"/>
      <w:marRight w:val="0"/>
      <w:marTop w:val="0"/>
      <w:marBottom w:val="0"/>
      <w:divBdr>
        <w:top w:val="none" w:sz="0" w:space="0" w:color="auto"/>
        <w:left w:val="none" w:sz="0" w:space="0" w:color="auto"/>
        <w:bottom w:val="none" w:sz="0" w:space="0" w:color="auto"/>
        <w:right w:val="none" w:sz="0" w:space="0" w:color="auto"/>
      </w:divBdr>
    </w:div>
    <w:div w:id="1653943259">
      <w:bodyDiv w:val="1"/>
      <w:marLeft w:val="0"/>
      <w:marRight w:val="0"/>
      <w:marTop w:val="0"/>
      <w:marBottom w:val="0"/>
      <w:divBdr>
        <w:top w:val="none" w:sz="0" w:space="0" w:color="auto"/>
        <w:left w:val="none" w:sz="0" w:space="0" w:color="auto"/>
        <w:bottom w:val="none" w:sz="0" w:space="0" w:color="auto"/>
        <w:right w:val="none" w:sz="0" w:space="0" w:color="auto"/>
      </w:divBdr>
    </w:div>
    <w:div w:id="1661883749">
      <w:bodyDiv w:val="1"/>
      <w:marLeft w:val="0"/>
      <w:marRight w:val="0"/>
      <w:marTop w:val="0"/>
      <w:marBottom w:val="0"/>
      <w:divBdr>
        <w:top w:val="none" w:sz="0" w:space="0" w:color="auto"/>
        <w:left w:val="none" w:sz="0" w:space="0" w:color="auto"/>
        <w:bottom w:val="none" w:sz="0" w:space="0" w:color="auto"/>
        <w:right w:val="none" w:sz="0" w:space="0" w:color="auto"/>
      </w:divBdr>
    </w:div>
    <w:div w:id="1697191109">
      <w:bodyDiv w:val="1"/>
      <w:marLeft w:val="0"/>
      <w:marRight w:val="0"/>
      <w:marTop w:val="0"/>
      <w:marBottom w:val="0"/>
      <w:divBdr>
        <w:top w:val="none" w:sz="0" w:space="0" w:color="auto"/>
        <w:left w:val="none" w:sz="0" w:space="0" w:color="auto"/>
        <w:bottom w:val="none" w:sz="0" w:space="0" w:color="auto"/>
        <w:right w:val="none" w:sz="0" w:space="0" w:color="auto"/>
      </w:divBdr>
    </w:div>
    <w:div w:id="1728647493">
      <w:bodyDiv w:val="1"/>
      <w:marLeft w:val="0"/>
      <w:marRight w:val="0"/>
      <w:marTop w:val="0"/>
      <w:marBottom w:val="0"/>
      <w:divBdr>
        <w:top w:val="none" w:sz="0" w:space="0" w:color="auto"/>
        <w:left w:val="none" w:sz="0" w:space="0" w:color="auto"/>
        <w:bottom w:val="none" w:sz="0" w:space="0" w:color="auto"/>
        <w:right w:val="none" w:sz="0" w:space="0" w:color="auto"/>
      </w:divBdr>
    </w:div>
    <w:div w:id="1761562605">
      <w:bodyDiv w:val="1"/>
      <w:marLeft w:val="0"/>
      <w:marRight w:val="0"/>
      <w:marTop w:val="0"/>
      <w:marBottom w:val="0"/>
      <w:divBdr>
        <w:top w:val="none" w:sz="0" w:space="0" w:color="auto"/>
        <w:left w:val="none" w:sz="0" w:space="0" w:color="auto"/>
        <w:bottom w:val="none" w:sz="0" w:space="0" w:color="auto"/>
        <w:right w:val="none" w:sz="0" w:space="0" w:color="auto"/>
      </w:divBdr>
    </w:div>
    <w:div w:id="1820463976">
      <w:bodyDiv w:val="1"/>
      <w:marLeft w:val="0"/>
      <w:marRight w:val="0"/>
      <w:marTop w:val="0"/>
      <w:marBottom w:val="0"/>
      <w:divBdr>
        <w:top w:val="none" w:sz="0" w:space="0" w:color="auto"/>
        <w:left w:val="none" w:sz="0" w:space="0" w:color="auto"/>
        <w:bottom w:val="none" w:sz="0" w:space="0" w:color="auto"/>
        <w:right w:val="none" w:sz="0" w:space="0" w:color="auto"/>
      </w:divBdr>
    </w:div>
    <w:div w:id="1822429824">
      <w:bodyDiv w:val="1"/>
      <w:marLeft w:val="0"/>
      <w:marRight w:val="0"/>
      <w:marTop w:val="0"/>
      <w:marBottom w:val="0"/>
      <w:divBdr>
        <w:top w:val="none" w:sz="0" w:space="0" w:color="auto"/>
        <w:left w:val="none" w:sz="0" w:space="0" w:color="auto"/>
        <w:bottom w:val="none" w:sz="0" w:space="0" w:color="auto"/>
        <w:right w:val="none" w:sz="0" w:space="0" w:color="auto"/>
      </w:divBdr>
    </w:div>
    <w:div w:id="2013408497">
      <w:bodyDiv w:val="1"/>
      <w:marLeft w:val="0"/>
      <w:marRight w:val="0"/>
      <w:marTop w:val="0"/>
      <w:marBottom w:val="0"/>
      <w:divBdr>
        <w:top w:val="none" w:sz="0" w:space="0" w:color="auto"/>
        <w:left w:val="none" w:sz="0" w:space="0" w:color="auto"/>
        <w:bottom w:val="none" w:sz="0" w:space="0" w:color="auto"/>
        <w:right w:val="none" w:sz="0" w:space="0" w:color="auto"/>
      </w:divBdr>
    </w:div>
    <w:div w:id="20835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owthplusreports.com/report/cell-analysis-market/7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wthplusreports.com/inquiry/request-sample/cell-analysis-market/7628" TargetMode="External"/><Relationship Id="rId5" Type="http://schemas.openxmlformats.org/officeDocument/2006/relationships/hyperlink" Target="https://growthplusreports.com/report/cell-analysis-market/76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 Shukla</dc:creator>
  <cp:keywords/>
  <dc:description/>
  <cp:lastModifiedBy>Rachana Shukla</cp:lastModifiedBy>
  <cp:revision>6</cp:revision>
  <dcterms:created xsi:type="dcterms:W3CDTF">2022-06-24T06:46:00Z</dcterms:created>
  <dcterms:modified xsi:type="dcterms:W3CDTF">2022-12-05T06:29:00Z</dcterms:modified>
</cp:coreProperties>
</file>